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684" w:rsidRPr="009E7684" w:rsidRDefault="009E7684" w:rsidP="009E7684">
      <w:pPr>
        <w:pStyle w:val="Bullet1"/>
        <w:numPr>
          <w:ilvl w:val="0"/>
          <w:numId w:val="0"/>
        </w:numPr>
        <w:ind w:left="360" w:hanging="360"/>
        <w:rPr>
          <w:sz w:val="32"/>
          <w:szCs w:val="32"/>
        </w:rPr>
      </w:pPr>
      <w:r w:rsidRPr="009E7684">
        <w:rPr>
          <w:sz w:val="32"/>
          <w:szCs w:val="32"/>
        </w:rPr>
        <w:t>Mr. President,</w:t>
      </w:r>
    </w:p>
    <w:p w:rsidR="009E7684" w:rsidRPr="00E9529A" w:rsidRDefault="009E7684" w:rsidP="009E7684">
      <w:pPr>
        <w:pStyle w:val="Bullet1"/>
        <w:numPr>
          <w:ilvl w:val="0"/>
          <w:numId w:val="0"/>
        </w:numPr>
        <w:rPr>
          <w:sz w:val="32"/>
          <w:szCs w:val="32"/>
        </w:rPr>
      </w:pPr>
      <w:r w:rsidRPr="00E9529A">
        <w:rPr>
          <w:sz w:val="32"/>
          <w:szCs w:val="32"/>
        </w:rPr>
        <w:t xml:space="preserve">I would like to thank for this opportunity to speak briefly about the creation of a new type of park in Canada – a national urban park. </w:t>
      </w:r>
    </w:p>
    <w:p w:rsidR="009E7684" w:rsidRPr="00E9529A" w:rsidRDefault="009E7684" w:rsidP="009E7684">
      <w:pPr>
        <w:pStyle w:val="Bullet1"/>
        <w:numPr>
          <w:ilvl w:val="0"/>
          <w:numId w:val="0"/>
        </w:numPr>
        <w:rPr>
          <w:sz w:val="32"/>
          <w:szCs w:val="32"/>
        </w:rPr>
      </w:pPr>
      <w:r w:rsidRPr="00E9529A">
        <w:rPr>
          <w:sz w:val="32"/>
          <w:szCs w:val="32"/>
        </w:rPr>
        <w:t xml:space="preserve">The </w:t>
      </w:r>
      <w:r w:rsidR="00E9529A" w:rsidRPr="00E9529A">
        <w:rPr>
          <w:rFonts w:cs="Arial"/>
          <w:sz w:val="32"/>
          <w:szCs w:val="32"/>
        </w:rPr>
        <w:t xml:space="preserve">Rouge National Urban Park </w:t>
      </w:r>
      <w:r w:rsidRPr="00E9529A">
        <w:rPr>
          <w:sz w:val="32"/>
          <w:szCs w:val="32"/>
        </w:rPr>
        <w:t xml:space="preserve">will be unlike other National Parks in Canada – it will be located within and adjacent to a highly urbanized area: </w:t>
      </w:r>
      <w:r w:rsidR="000F0EA7">
        <w:rPr>
          <w:sz w:val="32"/>
          <w:szCs w:val="32"/>
        </w:rPr>
        <w:t xml:space="preserve">the Greater Toronto Area. </w:t>
      </w:r>
      <w:r w:rsidR="00E9529A">
        <w:rPr>
          <w:rFonts w:cs="Arial"/>
          <w:sz w:val="32"/>
          <w:szCs w:val="32"/>
        </w:rPr>
        <w:t>It will</w:t>
      </w:r>
      <w:r w:rsidR="00E9529A" w:rsidRPr="00E9529A">
        <w:rPr>
          <w:rFonts w:cs="Arial"/>
          <w:sz w:val="32"/>
          <w:szCs w:val="32"/>
        </w:rPr>
        <w:t xml:space="preserve"> possess an unparalleled combination of natural and cultural features, including more than 10,000 years of rich human history, countless species of flora and fauna, and a vibrant farming community</w:t>
      </w:r>
    </w:p>
    <w:p w:rsidR="009E7684" w:rsidRPr="00E9529A" w:rsidRDefault="009E7684" w:rsidP="009E7684">
      <w:pPr>
        <w:pStyle w:val="Bullet1"/>
        <w:numPr>
          <w:ilvl w:val="0"/>
          <w:numId w:val="0"/>
        </w:numPr>
        <w:rPr>
          <w:sz w:val="32"/>
          <w:szCs w:val="32"/>
        </w:rPr>
      </w:pPr>
      <w:r w:rsidRPr="00E9529A">
        <w:rPr>
          <w:sz w:val="32"/>
          <w:szCs w:val="32"/>
        </w:rPr>
        <w:t xml:space="preserve">The </w:t>
      </w:r>
      <w:r w:rsidR="000F0EA7">
        <w:rPr>
          <w:rFonts w:cs="Arial"/>
          <w:sz w:val="32"/>
          <w:szCs w:val="32"/>
        </w:rPr>
        <w:t xml:space="preserve">Rouge </w:t>
      </w:r>
      <w:r w:rsidR="000F0EA7" w:rsidRPr="00E9529A">
        <w:rPr>
          <w:rFonts w:cs="Arial"/>
          <w:sz w:val="32"/>
          <w:szCs w:val="32"/>
        </w:rPr>
        <w:t xml:space="preserve">National Urban Park </w:t>
      </w:r>
      <w:r w:rsidRPr="00E9529A">
        <w:rPr>
          <w:sz w:val="32"/>
          <w:szCs w:val="32"/>
        </w:rPr>
        <w:t xml:space="preserve">is envisioned to have over 50 square kilometres and it will house important cultural and natural heritage including: </w:t>
      </w:r>
    </w:p>
    <w:p w:rsidR="009E7684" w:rsidRPr="009E7684" w:rsidRDefault="009E7684" w:rsidP="009E7684">
      <w:pPr>
        <w:pStyle w:val="Bullet2"/>
        <w:rPr>
          <w:sz w:val="32"/>
          <w:szCs w:val="32"/>
        </w:rPr>
      </w:pPr>
      <w:r w:rsidRPr="009E7684">
        <w:rPr>
          <w:sz w:val="32"/>
          <w:szCs w:val="32"/>
        </w:rPr>
        <w:t>a National Historic Site of First Nations significance;</w:t>
      </w:r>
    </w:p>
    <w:p w:rsidR="009E7684" w:rsidRPr="009E7684" w:rsidRDefault="009E7684" w:rsidP="009E7684">
      <w:pPr>
        <w:pStyle w:val="Bullet2"/>
        <w:rPr>
          <w:sz w:val="32"/>
          <w:szCs w:val="32"/>
        </w:rPr>
      </w:pPr>
      <w:r w:rsidRPr="009E7684">
        <w:rPr>
          <w:sz w:val="32"/>
          <w:szCs w:val="32"/>
        </w:rPr>
        <w:t>a public beach;</w:t>
      </w:r>
    </w:p>
    <w:p w:rsidR="009E7684" w:rsidRPr="009E7684" w:rsidRDefault="009E7684" w:rsidP="009E7684">
      <w:pPr>
        <w:pStyle w:val="Bullet2"/>
        <w:rPr>
          <w:sz w:val="32"/>
          <w:szCs w:val="32"/>
        </w:rPr>
      </w:pPr>
      <w:r w:rsidRPr="009E7684">
        <w:rPr>
          <w:sz w:val="32"/>
          <w:szCs w:val="32"/>
        </w:rPr>
        <w:t>a campground;</w:t>
      </w:r>
    </w:p>
    <w:p w:rsidR="009E7684" w:rsidRPr="009E7684" w:rsidRDefault="009E7684" w:rsidP="009E7684">
      <w:pPr>
        <w:pStyle w:val="Bullet2"/>
        <w:rPr>
          <w:sz w:val="32"/>
          <w:szCs w:val="32"/>
        </w:rPr>
      </w:pPr>
      <w:r w:rsidRPr="009E7684">
        <w:rPr>
          <w:sz w:val="32"/>
          <w:szCs w:val="32"/>
        </w:rPr>
        <w:t>various woodlands, including the rare Carolinian forest ecosystem;</w:t>
      </w:r>
    </w:p>
    <w:p w:rsidR="009E7684" w:rsidRPr="009E7684" w:rsidRDefault="009E7684" w:rsidP="009E7684">
      <w:pPr>
        <w:pStyle w:val="Bullet2"/>
        <w:rPr>
          <w:sz w:val="32"/>
          <w:szCs w:val="32"/>
        </w:rPr>
      </w:pPr>
      <w:r w:rsidRPr="009E7684">
        <w:rPr>
          <w:sz w:val="32"/>
          <w:szCs w:val="32"/>
        </w:rPr>
        <w:t>walking trails;</w:t>
      </w:r>
    </w:p>
    <w:p w:rsidR="009E7684" w:rsidRPr="009E7684" w:rsidRDefault="009E7684" w:rsidP="009E7684">
      <w:pPr>
        <w:pStyle w:val="Bullet2"/>
        <w:rPr>
          <w:sz w:val="32"/>
          <w:szCs w:val="32"/>
        </w:rPr>
      </w:pPr>
      <w:r w:rsidRPr="009E7684">
        <w:rPr>
          <w:sz w:val="32"/>
          <w:szCs w:val="32"/>
        </w:rPr>
        <w:t>internationally significant geological features; and</w:t>
      </w:r>
    </w:p>
    <w:p w:rsidR="009E7684" w:rsidRPr="00E9529A" w:rsidRDefault="009E7684" w:rsidP="009E7684">
      <w:pPr>
        <w:pStyle w:val="Bullet2"/>
        <w:rPr>
          <w:sz w:val="32"/>
          <w:szCs w:val="32"/>
        </w:rPr>
      </w:pPr>
      <w:proofErr w:type="gramStart"/>
      <w:r w:rsidRPr="00E9529A">
        <w:rPr>
          <w:sz w:val="32"/>
          <w:szCs w:val="32"/>
        </w:rPr>
        <w:t>beautiful</w:t>
      </w:r>
      <w:proofErr w:type="gramEnd"/>
      <w:r w:rsidRPr="00E9529A">
        <w:rPr>
          <w:sz w:val="32"/>
          <w:szCs w:val="32"/>
        </w:rPr>
        <w:t xml:space="preserve"> panoramic views. </w:t>
      </w:r>
    </w:p>
    <w:p w:rsidR="009E7684" w:rsidRPr="00E9529A" w:rsidRDefault="009E7684" w:rsidP="009E7684">
      <w:pPr>
        <w:pStyle w:val="Bullet1"/>
        <w:numPr>
          <w:ilvl w:val="0"/>
          <w:numId w:val="0"/>
        </w:numPr>
        <w:rPr>
          <w:sz w:val="32"/>
          <w:szCs w:val="32"/>
        </w:rPr>
      </w:pPr>
      <w:r w:rsidRPr="00E9529A">
        <w:rPr>
          <w:sz w:val="32"/>
          <w:szCs w:val="32"/>
        </w:rPr>
        <w:t>All of this is, within a short distance of the millions of Canadians living in the Greater Toronto Area.</w:t>
      </w:r>
      <w:r w:rsidRPr="00E9529A">
        <w:rPr>
          <w:rFonts w:cs="Arial"/>
          <w:sz w:val="32"/>
          <w:szCs w:val="32"/>
        </w:rPr>
        <w:t xml:space="preserve"> </w:t>
      </w:r>
      <w:r w:rsidR="000F0EA7">
        <w:rPr>
          <w:rFonts w:cs="Arial"/>
          <w:sz w:val="32"/>
          <w:szCs w:val="32"/>
        </w:rPr>
        <w:t>It will offer</w:t>
      </w:r>
      <w:r w:rsidRPr="00E9529A">
        <w:rPr>
          <w:rFonts w:cs="Arial"/>
          <w:sz w:val="32"/>
          <w:szCs w:val="32"/>
        </w:rPr>
        <w:t xml:space="preserve"> an extraordinary opportunity to expose a huge number of Canadians to their heritage, as 20 percent of </w:t>
      </w:r>
      <w:r w:rsidRPr="00E9529A">
        <w:rPr>
          <w:rFonts w:cs="Arial"/>
          <w:spacing w:val="-2"/>
          <w:sz w:val="32"/>
          <w:szCs w:val="32"/>
        </w:rPr>
        <w:t>the country’s population resides within 100 kilometres of the park.</w:t>
      </w:r>
    </w:p>
    <w:p w:rsidR="009E7684" w:rsidRPr="00E9529A" w:rsidRDefault="009E7684" w:rsidP="009E7684">
      <w:pPr>
        <w:pStyle w:val="Bullet1"/>
        <w:numPr>
          <w:ilvl w:val="0"/>
          <w:numId w:val="0"/>
        </w:numPr>
        <w:rPr>
          <w:sz w:val="32"/>
          <w:szCs w:val="32"/>
        </w:rPr>
      </w:pPr>
      <w:r w:rsidRPr="00E9529A">
        <w:rPr>
          <w:sz w:val="32"/>
          <w:szCs w:val="32"/>
        </w:rPr>
        <w:t xml:space="preserve">There has been a park named Rouge Park in the area since 1995, but it lacked a defined land base, money and a purpose. </w:t>
      </w:r>
    </w:p>
    <w:p w:rsidR="009E7684" w:rsidRPr="00E9529A" w:rsidRDefault="009E7684" w:rsidP="009E7684">
      <w:pPr>
        <w:pStyle w:val="Bullet1"/>
        <w:numPr>
          <w:ilvl w:val="0"/>
          <w:numId w:val="0"/>
        </w:numPr>
        <w:rPr>
          <w:sz w:val="32"/>
          <w:szCs w:val="32"/>
        </w:rPr>
      </w:pPr>
      <w:r w:rsidRPr="00E9529A">
        <w:rPr>
          <w:sz w:val="32"/>
          <w:szCs w:val="32"/>
        </w:rPr>
        <w:t xml:space="preserve">In its </w:t>
      </w:r>
      <w:r w:rsidRPr="00E9529A">
        <w:rPr>
          <w:i/>
          <w:sz w:val="32"/>
          <w:szCs w:val="32"/>
        </w:rPr>
        <w:t>2011 Speech from the Throne</w:t>
      </w:r>
      <w:r w:rsidRPr="00E9529A">
        <w:rPr>
          <w:sz w:val="32"/>
          <w:szCs w:val="32"/>
        </w:rPr>
        <w:t xml:space="preserve">, the Government of Canada announced that it planned to change this by creating Canada’s first national urban park. </w:t>
      </w:r>
    </w:p>
    <w:p w:rsidR="00E9529A" w:rsidRDefault="009E7684" w:rsidP="009E7684">
      <w:pPr>
        <w:pStyle w:val="Bullet1"/>
        <w:numPr>
          <w:ilvl w:val="0"/>
          <w:numId w:val="0"/>
        </w:numPr>
        <w:rPr>
          <w:sz w:val="32"/>
          <w:szCs w:val="32"/>
        </w:rPr>
      </w:pPr>
      <w:r w:rsidRPr="00E9529A">
        <w:rPr>
          <w:sz w:val="32"/>
          <w:szCs w:val="32"/>
        </w:rPr>
        <w:lastRenderedPageBreak/>
        <w:t xml:space="preserve">Given the unique challenges of creating this urban park, the government introduced a unique piece of legislation, Bill C-40, or the </w:t>
      </w:r>
      <w:r w:rsidRPr="00E9529A">
        <w:rPr>
          <w:i/>
          <w:sz w:val="32"/>
          <w:szCs w:val="32"/>
        </w:rPr>
        <w:t>Rouge National Urban Park Act</w:t>
      </w:r>
      <w:r w:rsidRPr="00E9529A">
        <w:rPr>
          <w:sz w:val="32"/>
          <w:szCs w:val="32"/>
        </w:rPr>
        <w:t xml:space="preserve">, to Parliament on 13 June 2014 </w:t>
      </w:r>
      <w:r w:rsidR="000F0EA7">
        <w:rPr>
          <w:sz w:val="32"/>
          <w:szCs w:val="32"/>
        </w:rPr>
        <w:t>which</w:t>
      </w:r>
      <w:r w:rsidRPr="00E9529A">
        <w:rPr>
          <w:sz w:val="32"/>
          <w:szCs w:val="32"/>
        </w:rPr>
        <w:t xml:space="preserve"> will become legislation before the end of the parliamentary session in June 2015. </w:t>
      </w:r>
    </w:p>
    <w:p w:rsidR="009E7684" w:rsidRPr="00E9529A" w:rsidRDefault="00E9529A" w:rsidP="009E7684">
      <w:pPr>
        <w:pStyle w:val="Bullet1"/>
        <w:numPr>
          <w:ilvl w:val="0"/>
          <w:numId w:val="0"/>
        </w:numPr>
        <w:rPr>
          <w:sz w:val="32"/>
          <w:szCs w:val="32"/>
        </w:rPr>
      </w:pPr>
      <w:r w:rsidRPr="00E9529A">
        <w:rPr>
          <w:rFonts w:cs="Arial"/>
          <w:sz w:val="32"/>
          <w:szCs w:val="32"/>
        </w:rPr>
        <w:t>With the tabling of this historic</w:t>
      </w:r>
      <w:r w:rsidR="000F0EA7">
        <w:rPr>
          <w:rFonts w:cs="Arial"/>
          <w:sz w:val="32"/>
          <w:szCs w:val="32"/>
        </w:rPr>
        <w:t xml:space="preserve"> legislation, the Government of </w:t>
      </w:r>
      <w:r w:rsidRPr="00E9529A">
        <w:rPr>
          <w:rFonts w:cs="Arial"/>
          <w:sz w:val="32"/>
          <w:szCs w:val="32"/>
        </w:rPr>
        <w:t>Canada continues to build on its record as a world leader in conservation.</w:t>
      </w:r>
    </w:p>
    <w:p w:rsidR="009E7684" w:rsidRPr="00E9529A" w:rsidRDefault="009E7684" w:rsidP="00E9529A">
      <w:pPr>
        <w:pStyle w:val="Bullet1"/>
        <w:numPr>
          <w:ilvl w:val="0"/>
          <w:numId w:val="0"/>
        </w:numPr>
        <w:rPr>
          <w:sz w:val="32"/>
          <w:szCs w:val="32"/>
        </w:rPr>
      </w:pPr>
      <w:r w:rsidRPr="00E9529A">
        <w:rPr>
          <w:sz w:val="32"/>
          <w:szCs w:val="32"/>
        </w:rPr>
        <w:t>This Act will create Rouge National Urban Park and place it in the care of the world-recognized Parks Canada Agency – the government agency that is the guardian of Canada’s cultural and natural heritage.</w:t>
      </w:r>
    </w:p>
    <w:p w:rsidR="009E7684" w:rsidRPr="00E9529A" w:rsidRDefault="009E7684" w:rsidP="00E9529A">
      <w:pPr>
        <w:pStyle w:val="Bullet1"/>
        <w:numPr>
          <w:ilvl w:val="0"/>
          <w:numId w:val="0"/>
        </w:numPr>
        <w:rPr>
          <w:sz w:val="32"/>
          <w:szCs w:val="32"/>
        </w:rPr>
      </w:pPr>
      <w:r w:rsidRPr="00E9529A">
        <w:rPr>
          <w:sz w:val="32"/>
          <w:szCs w:val="32"/>
        </w:rPr>
        <w:t xml:space="preserve">Parks Canada is well positioned to protect the many cultural and natural resources located within the park and envisions the building of a “people’s park” connecting Canadians with the elements of our country that make us truly Canadian. </w:t>
      </w:r>
    </w:p>
    <w:p w:rsidR="009E7684" w:rsidRPr="00E9529A" w:rsidRDefault="009E7684" w:rsidP="00E9529A">
      <w:pPr>
        <w:pStyle w:val="Bullet1"/>
        <w:numPr>
          <w:ilvl w:val="0"/>
          <w:numId w:val="0"/>
        </w:numPr>
        <w:rPr>
          <w:sz w:val="32"/>
          <w:szCs w:val="32"/>
        </w:rPr>
      </w:pPr>
      <w:r w:rsidRPr="00E9529A">
        <w:rPr>
          <w:sz w:val="32"/>
          <w:szCs w:val="32"/>
        </w:rPr>
        <w:t xml:space="preserve">This unique park will protect a good deal of rare highly productive agricultural land from the pressures of urbanization and </w:t>
      </w:r>
      <w:r w:rsidR="000F0EA7">
        <w:rPr>
          <w:sz w:val="32"/>
          <w:szCs w:val="32"/>
        </w:rPr>
        <w:t>it</w:t>
      </w:r>
      <w:r w:rsidRPr="00E9529A">
        <w:rPr>
          <w:sz w:val="32"/>
          <w:szCs w:val="32"/>
        </w:rPr>
        <w:t xml:space="preserve"> will allow visitors to better understand the use and importance of these fertile farmlands. </w:t>
      </w:r>
    </w:p>
    <w:p w:rsidR="009E7684" w:rsidRPr="00E9529A" w:rsidRDefault="009E7684" w:rsidP="00E9529A">
      <w:pPr>
        <w:pStyle w:val="Bullet1"/>
        <w:numPr>
          <w:ilvl w:val="0"/>
          <w:numId w:val="0"/>
        </w:numPr>
        <w:rPr>
          <w:sz w:val="32"/>
          <w:szCs w:val="32"/>
        </w:rPr>
      </w:pPr>
      <w:r w:rsidRPr="00E9529A">
        <w:rPr>
          <w:sz w:val="32"/>
          <w:szCs w:val="32"/>
        </w:rPr>
        <w:t xml:space="preserve">Parks Canada is also committed to restoring the Rouge’s native ecosystems, including Carolinian forests, marshes and meadows. </w:t>
      </w:r>
    </w:p>
    <w:p w:rsidR="009E7684" w:rsidRPr="00E9529A" w:rsidRDefault="009E7684" w:rsidP="00E9529A">
      <w:pPr>
        <w:pStyle w:val="Bullet1"/>
        <w:numPr>
          <w:ilvl w:val="0"/>
          <w:numId w:val="0"/>
        </w:numPr>
        <w:rPr>
          <w:sz w:val="32"/>
          <w:szCs w:val="32"/>
        </w:rPr>
      </w:pPr>
      <w:r w:rsidRPr="00E9529A">
        <w:rPr>
          <w:sz w:val="32"/>
          <w:szCs w:val="32"/>
        </w:rPr>
        <w:t>To conclude, I wish to emphasize the significance of the creation of this new type of park – the national urban park – in Canada’s landscape and hope that this will encourage the development of other such par</w:t>
      </w:r>
      <w:r w:rsidR="002F1F53">
        <w:rPr>
          <w:sz w:val="32"/>
          <w:szCs w:val="32"/>
        </w:rPr>
        <w:t xml:space="preserve">ks in urban areas within Canada, Europe </w:t>
      </w:r>
      <w:r w:rsidR="000F0EA7">
        <w:rPr>
          <w:sz w:val="32"/>
          <w:szCs w:val="32"/>
        </w:rPr>
        <w:t xml:space="preserve">as well as </w:t>
      </w:r>
      <w:r w:rsidRPr="00E9529A">
        <w:rPr>
          <w:sz w:val="32"/>
          <w:szCs w:val="32"/>
        </w:rPr>
        <w:t xml:space="preserve">abroad. </w:t>
      </w:r>
    </w:p>
    <w:p w:rsidR="00981DA9" w:rsidRDefault="002F1F53">
      <w:pPr>
        <w:rPr>
          <w:sz w:val="32"/>
          <w:szCs w:val="32"/>
        </w:rPr>
      </w:pPr>
      <w:r>
        <w:rPr>
          <w:sz w:val="32"/>
          <w:szCs w:val="32"/>
        </w:rPr>
        <w:t>Enjoying Nature is a human right…..</w:t>
      </w:r>
    </w:p>
    <w:p w:rsidR="002F1F53" w:rsidRDefault="002F1F53">
      <w:pPr>
        <w:rPr>
          <w:sz w:val="32"/>
          <w:szCs w:val="32"/>
        </w:rPr>
      </w:pPr>
    </w:p>
    <w:p w:rsidR="002F1F53" w:rsidRPr="00E9529A" w:rsidRDefault="002F1F53">
      <w:pPr>
        <w:rPr>
          <w:sz w:val="32"/>
          <w:szCs w:val="32"/>
        </w:rPr>
      </w:pPr>
      <w:r>
        <w:rPr>
          <w:sz w:val="32"/>
          <w:szCs w:val="32"/>
        </w:rPr>
        <w:t>Thank you.</w:t>
      </w:r>
      <w:bookmarkStart w:id="0" w:name="_GoBack"/>
      <w:bookmarkEnd w:id="0"/>
    </w:p>
    <w:sectPr w:rsidR="002F1F53" w:rsidRPr="00E9529A" w:rsidSect="007B201B">
      <w:headerReference w:type="default" r:id="rId7"/>
      <w:headerReference w:type="first" r:id="rId8"/>
      <w:pgSz w:w="12240" w:h="15840" w:code="1"/>
      <w:pgMar w:top="1714" w:right="1080" w:bottom="864" w:left="1440" w:header="720" w:footer="864" w:gutter="0"/>
      <w:pgNumType w:start="1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56CF" w:rsidRDefault="00E556CF" w:rsidP="009E7684">
      <w:r>
        <w:separator/>
      </w:r>
    </w:p>
  </w:endnote>
  <w:endnote w:type="continuationSeparator" w:id="0">
    <w:p w:rsidR="00E556CF" w:rsidRDefault="00E556CF" w:rsidP="009E76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56CF" w:rsidRDefault="00E556CF" w:rsidP="009E7684">
      <w:r>
        <w:separator/>
      </w:r>
    </w:p>
  </w:footnote>
  <w:footnote w:type="continuationSeparator" w:id="0">
    <w:p w:rsidR="00E556CF" w:rsidRDefault="00E556CF" w:rsidP="009E768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ED9" w:rsidRPr="00C80ED9" w:rsidRDefault="00E556CF" w:rsidP="00C80ED9">
    <w:pPr>
      <w:pStyle w:val="Header"/>
    </w:pPr>
  </w:p>
  <w:p w:rsidR="00E24677" w:rsidRPr="00C80ED9" w:rsidRDefault="000F0EA7" w:rsidP="00C80ED9">
    <w:pPr>
      <w:pStyle w:val="Header"/>
    </w:pPr>
    <w:r w:rsidRPr="00C80ED9">
      <w:tab/>
      <w:t>LIBRARY OF PARLIAMENT</w:t>
    </w:r>
    <w:r w:rsidRPr="00C80ED9">
      <w:tab/>
      <w:t xml:space="preserve">PAGE </w:t>
    </w:r>
    <w:r w:rsidR="00B16032" w:rsidRPr="00C80ED9">
      <w:fldChar w:fldCharType="begin"/>
    </w:r>
    <w:r w:rsidRPr="00C80ED9">
      <w:instrText xml:space="preserve"> PAGE   \* MERGEFORMAT </w:instrText>
    </w:r>
    <w:r w:rsidR="00B16032" w:rsidRPr="00C80ED9">
      <w:fldChar w:fldCharType="separate"/>
    </w:r>
    <w:r w:rsidR="00325CCD">
      <w:rPr>
        <w:noProof/>
      </w:rPr>
      <w:t>2</w:t>
    </w:r>
    <w:r w:rsidR="00B16032" w:rsidRPr="00C80ED9"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ED9" w:rsidRPr="00C80ED9" w:rsidRDefault="00E556CF" w:rsidP="00C80ED9">
    <w:pPr>
      <w:pStyle w:val="Header"/>
    </w:pPr>
  </w:p>
  <w:p w:rsidR="00E24677" w:rsidRPr="00C80ED9" w:rsidRDefault="000F0EA7" w:rsidP="00C80ED9">
    <w:pPr>
      <w:pStyle w:val="Header"/>
    </w:pPr>
    <w:r w:rsidRPr="00C80ED9">
      <w:tab/>
      <w:t>LIBRARY OF PARLIAMENT</w:t>
    </w:r>
    <w:r w:rsidRPr="00C80ED9">
      <w:tab/>
      <w:t xml:space="preserve">PAGE </w:t>
    </w:r>
    <w:r w:rsidR="00B16032" w:rsidRPr="00C80ED9">
      <w:fldChar w:fldCharType="begin"/>
    </w:r>
    <w:r w:rsidRPr="00C80ED9">
      <w:instrText xml:space="preserve"> PAGE   \* MERGEFORMAT </w:instrText>
    </w:r>
    <w:r w:rsidR="00B16032" w:rsidRPr="00C80ED9">
      <w:fldChar w:fldCharType="separate"/>
    </w:r>
    <w:r w:rsidR="00325CCD">
      <w:rPr>
        <w:noProof/>
      </w:rPr>
      <w:t>1</w:t>
    </w:r>
    <w:r w:rsidR="00B16032" w:rsidRPr="00C80ED9"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AC0AE5"/>
    <w:multiLevelType w:val="hybridMultilevel"/>
    <w:tmpl w:val="502285A6"/>
    <w:lvl w:ilvl="0" w:tplc="BED6C42A">
      <w:start w:val="1"/>
      <w:numFmt w:val="bullet"/>
      <w:pStyle w:val="Bullet1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066D15"/>
    <w:multiLevelType w:val="hybridMultilevel"/>
    <w:tmpl w:val="DF66E976"/>
    <w:lvl w:ilvl="0" w:tplc="01DE0DD8">
      <w:start w:val="1"/>
      <w:numFmt w:val="bullet"/>
      <w:pStyle w:val="Bullet2"/>
      <w:lvlText w:val=""/>
      <w:lvlJc w:val="left"/>
      <w:pPr>
        <w:ind w:left="720" w:hanging="360"/>
      </w:pPr>
      <w:rPr>
        <w:rFonts w:ascii="Wingdings" w:hAnsi="Wingdings" w:hint="default"/>
        <w:sz w:val="21"/>
        <w:szCs w:val="21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E7684"/>
    <w:rsid w:val="000F0EA7"/>
    <w:rsid w:val="002F1F53"/>
    <w:rsid w:val="00325CCD"/>
    <w:rsid w:val="006A4E19"/>
    <w:rsid w:val="009E7684"/>
    <w:rsid w:val="00B16032"/>
    <w:rsid w:val="00D4639E"/>
    <w:rsid w:val="00E556CF"/>
    <w:rsid w:val="00E952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10" w:qFormat="1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9E7684"/>
    <w:pPr>
      <w:spacing w:after="0" w:line="240" w:lineRule="auto"/>
    </w:pPr>
    <w:rPr>
      <w:rFonts w:ascii="Arial" w:eastAsiaTheme="minorEastAsia" w:hAnsi="Arial"/>
      <w:sz w:val="21"/>
      <w:szCs w:val="20"/>
      <w:lang w:val="en-GB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1">
    <w:name w:val="Bullet 1"/>
    <w:uiPriority w:val="1"/>
    <w:qFormat/>
    <w:rsid w:val="009E7684"/>
    <w:pPr>
      <w:numPr>
        <w:numId w:val="1"/>
      </w:numPr>
      <w:spacing w:before="120" w:after="120" w:line="240" w:lineRule="auto"/>
    </w:pPr>
    <w:rPr>
      <w:rFonts w:ascii="Arial" w:hAnsi="Arial"/>
      <w:sz w:val="21"/>
      <w:szCs w:val="24"/>
      <w:lang w:val="en-GB"/>
    </w:rPr>
  </w:style>
  <w:style w:type="paragraph" w:customStyle="1" w:styleId="Bullet2">
    <w:name w:val="Bullet 2"/>
    <w:uiPriority w:val="1"/>
    <w:qFormat/>
    <w:rsid w:val="009E7684"/>
    <w:pPr>
      <w:numPr>
        <w:numId w:val="2"/>
      </w:numPr>
      <w:spacing w:before="120" w:after="120" w:line="240" w:lineRule="auto"/>
    </w:pPr>
    <w:rPr>
      <w:rFonts w:ascii="Arial" w:hAnsi="Arial"/>
      <w:sz w:val="21"/>
      <w:szCs w:val="24"/>
      <w:lang w:val="en-GB"/>
    </w:rPr>
  </w:style>
  <w:style w:type="character" w:styleId="FootnoteReference">
    <w:name w:val="footnote reference"/>
    <w:basedOn w:val="DefaultParagraphFont"/>
    <w:unhideWhenUsed/>
    <w:rsid w:val="009E7684"/>
    <w:rPr>
      <w:rFonts w:ascii="Arial" w:hAnsi="Arial"/>
      <w:vertAlign w:val="superscript"/>
    </w:rPr>
  </w:style>
  <w:style w:type="paragraph" w:styleId="FootnoteText">
    <w:name w:val="footnote text"/>
    <w:next w:val="Normal"/>
    <w:link w:val="FootnoteTextChar"/>
    <w:uiPriority w:val="10"/>
    <w:qFormat/>
    <w:rsid w:val="009E7684"/>
    <w:pPr>
      <w:keepLines/>
      <w:tabs>
        <w:tab w:val="left" w:pos="547"/>
      </w:tabs>
      <w:spacing w:after="120" w:line="240" w:lineRule="auto"/>
      <w:ind w:left="360" w:hanging="360"/>
    </w:pPr>
    <w:rPr>
      <w:rFonts w:ascii="Arial" w:hAnsi="Arial"/>
      <w:sz w:val="18"/>
      <w:szCs w:val="24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10"/>
    <w:rsid w:val="009E7684"/>
    <w:rPr>
      <w:rFonts w:ascii="Arial" w:hAnsi="Arial"/>
      <w:sz w:val="18"/>
      <w:szCs w:val="24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9E7684"/>
    <w:pPr>
      <w:tabs>
        <w:tab w:val="left" w:pos="6030"/>
        <w:tab w:val="right" w:pos="9720"/>
      </w:tabs>
      <w:spacing w:after="40"/>
    </w:pPr>
    <w:rPr>
      <w:rFonts w:cs="Arial"/>
      <w:color w:val="233A74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rsid w:val="009E7684"/>
    <w:rPr>
      <w:rFonts w:ascii="Arial" w:eastAsiaTheme="minorEastAsia" w:hAnsi="Arial" w:cs="Arial"/>
      <w:color w:val="233A74"/>
      <w:sz w:val="16"/>
      <w:szCs w:val="16"/>
      <w:lang w:val="en-GB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10" w:qFormat="1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9E7684"/>
    <w:pPr>
      <w:spacing w:after="0" w:line="240" w:lineRule="auto"/>
    </w:pPr>
    <w:rPr>
      <w:rFonts w:ascii="Arial" w:eastAsiaTheme="minorEastAsia" w:hAnsi="Arial"/>
      <w:sz w:val="21"/>
      <w:szCs w:val="20"/>
      <w:lang w:val="en-GB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1">
    <w:name w:val="Bullet 1"/>
    <w:uiPriority w:val="1"/>
    <w:qFormat/>
    <w:rsid w:val="009E7684"/>
    <w:pPr>
      <w:numPr>
        <w:numId w:val="1"/>
      </w:numPr>
      <w:spacing w:before="120" w:after="120" w:line="240" w:lineRule="auto"/>
    </w:pPr>
    <w:rPr>
      <w:rFonts w:ascii="Arial" w:hAnsi="Arial"/>
      <w:sz w:val="21"/>
      <w:szCs w:val="24"/>
      <w:lang w:val="en-GB"/>
    </w:rPr>
  </w:style>
  <w:style w:type="paragraph" w:customStyle="1" w:styleId="Bullet2">
    <w:name w:val="Bullet 2"/>
    <w:uiPriority w:val="1"/>
    <w:qFormat/>
    <w:rsid w:val="009E7684"/>
    <w:pPr>
      <w:numPr>
        <w:numId w:val="2"/>
      </w:numPr>
      <w:spacing w:before="120" w:after="120" w:line="240" w:lineRule="auto"/>
    </w:pPr>
    <w:rPr>
      <w:rFonts w:ascii="Arial" w:hAnsi="Arial"/>
      <w:sz w:val="21"/>
      <w:szCs w:val="24"/>
      <w:lang w:val="en-GB"/>
    </w:rPr>
  </w:style>
  <w:style w:type="character" w:styleId="FootnoteReference">
    <w:name w:val="footnote reference"/>
    <w:basedOn w:val="DefaultParagraphFont"/>
    <w:unhideWhenUsed/>
    <w:rsid w:val="009E7684"/>
    <w:rPr>
      <w:rFonts w:ascii="Arial" w:hAnsi="Arial"/>
      <w:vertAlign w:val="superscript"/>
    </w:rPr>
  </w:style>
  <w:style w:type="paragraph" w:styleId="FootnoteText">
    <w:name w:val="footnote text"/>
    <w:next w:val="Normal"/>
    <w:link w:val="FootnoteTextChar"/>
    <w:uiPriority w:val="10"/>
    <w:qFormat/>
    <w:rsid w:val="009E7684"/>
    <w:pPr>
      <w:keepLines/>
      <w:tabs>
        <w:tab w:val="left" w:pos="547"/>
      </w:tabs>
      <w:spacing w:after="120" w:line="240" w:lineRule="auto"/>
      <w:ind w:left="360" w:hanging="360"/>
    </w:pPr>
    <w:rPr>
      <w:rFonts w:ascii="Arial" w:hAnsi="Arial"/>
      <w:sz w:val="18"/>
      <w:szCs w:val="24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10"/>
    <w:rsid w:val="009E7684"/>
    <w:rPr>
      <w:rFonts w:ascii="Arial" w:hAnsi="Arial"/>
      <w:sz w:val="18"/>
      <w:szCs w:val="24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9E7684"/>
    <w:pPr>
      <w:tabs>
        <w:tab w:val="left" w:pos="6030"/>
        <w:tab w:val="right" w:pos="9720"/>
      </w:tabs>
      <w:spacing w:after="40"/>
    </w:pPr>
    <w:rPr>
      <w:rFonts w:cs="Arial"/>
      <w:color w:val="233A74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rsid w:val="009E7684"/>
    <w:rPr>
      <w:rFonts w:ascii="Arial" w:eastAsiaTheme="minorEastAsia" w:hAnsi="Arial" w:cs="Arial"/>
      <w:color w:val="233A74"/>
      <w:sz w:val="16"/>
      <w:szCs w:val="16"/>
      <w:lang w:val="en-GB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449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House of Commons / Chambre des communes</Company>
  <LinksUpToDate>false</LinksUpToDate>
  <CharactersWithSpaces>3008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Corneliu Chisu</dc:creator>
  <cp:lastModifiedBy>User</cp:lastModifiedBy>
  <cp:revision>2</cp:revision>
  <cp:lastPrinted>2015-04-29T16:52:00Z</cp:lastPrinted>
  <dcterms:created xsi:type="dcterms:W3CDTF">2015-04-29T16:53:00Z</dcterms:created>
  <dcterms:modified xsi:type="dcterms:W3CDTF">2015-04-29T16:53:00Z</dcterms:modified>
</cp:coreProperties>
</file>